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4"/>
          <w:szCs w:val="44"/>
          <w:lang w:eastAsia="zh-CN"/>
        </w:rPr>
      </w:pPr>
      <w:bookmarkStart w:id="0" w:name="_GoBack"/>
      <w:bookmarkEnd w:id="0"/>
      <w:r>
        <w:rPr>
          <w:rFonts w:hint="eastAsia" w:ascii="方正小标宋简体" w:eastAsia="方正小标宋简体"/>
          <w:sz w:val="44"/>
          <w:szCs w:val="44"/>
          <w:lang w:eastAsia="zh-CN"/>
        </w:rPr>
        <w:t>专项检查</w:t>
      </w:r>
      <w:r>
        <w:rPr>
          <w:rFonts w:hint="eastAsia" w:ascii="方正小标宋简体" w:eastAsia="方正小标宋简体"/>
          <w:sz w:val="44"/>
          <w:szCs w:val="44"/>
        </w:rPr>
        <w:t>事项</w:t>
      </w:r>
      <w:r>
        <w:rPr>
          <w:rFonts w:hint="eastAsia" w:ascii="方正小标宋简体" w:eastAsia="方正小标宋简体"/>
          <w:sz w:val="44"/>
          <w:szCs w:val="44"/>
          <w:lang w:eastAsia="zh-CN"/>
        </w:rPr>
        <w:t>清单</w:t>
      </w:r>
    </w:p>
    <w:tbl>
      <w:tblPr>
        <w:tblStyle w:val="2"/>
        <w:tblpPr w:leftFromText="180" w:rightFromText="180" w:vertAnchor="text" w:horzAnchor="page" w:tblpX="1324" w:tblpY="440"/>
        <w:tblOverlap w:val="never"/>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1453"/>
        <w:gridCol w:w="4035"/>
        <w:gridCol w:w="1487"/>
        <w:gridCol w:w="1375"/>
        <w:gridCol w:w="1125"/>
        <w:gridCol w:w="3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ascii="仿宋_GB2312" w:hAnsi="宋体" w:eastAsia="仿宋_GB2312"/>
                <w:b/>
                <w:bCs/>
                <w:sz w:val="32"/>
                <w:szCs w:val="32"/>
              </w:rPr>
            </w:pPr>
            <w:r>
              <w:rPr>
                <w:rFonts w:hint="eastAsia" w:ascii="仿宋_GB2312" w:hAnsi="宋体" w:eastAsia="仿宋_GB2312"/>
                <w:b/>
                <w:bCs/>
                <w:sz w:val="32"/>
                <w:szCs w:val="32"/>
              </w:rPr>
              <w:t>序号</w:t>
            </w:r>
          </w:p>
        </w:tc>
        <w:tc>
          <w:tcPr>
            <w:tcW w:w="14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仿宋_GB2312" w:hAnsi="宋体" w:eastAsia="仿宋_GB2312"/>
                <w:b/>
                <w:bCs/>
                <w:sz w:val="32"/>
                <w:szCs w:val="32"/>
              </w:rPr>
            </w:pPr>
            <w:r>
              <w:rPr>
                <w:rFonts w:hint="eastAsia" w:ascii="仿宋_GB2312" w:hAnsi="宋体" w:eastAsia="仿宋_GB2312"/>
                <w:b/>
                <w:bCs/>
                <w:sz w:val="32"/>
                <w:szCs w:val="32"/>
              </w:rPr>
              <w:t>事项</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ascii="仿宋_GB2312" w:hAnsi="宋体" w:eastAsia="仿宋_GB2312"/>
                <w:b/>
                <w:bCs/>
                <w:sz w:val="32"/>
                <w:szCs w:val="32"/>
              </w:rPr>
            </w:pPr>
            <w:r>
              <w:rPr>
                <w:rFonts w:hint="eastAsia" w:ascii="仿宋_GB2312" w:hAnsi="宋体" w:eastAsia="仿宋_GB2312"/>
                <w:b/>
                <w:bCs/>
                <w:sz w:val="32"/>
                <w:szCs w:val="32"/>
              </w:rPr>
              <w:t>名称</w:t>
            </w:r>
          </w:p>
        </w:tc>
        <w:tc>
          <w:tcPr>
            <w:tcW w:w="40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ascii="仿宋_GB2312" w:hAnsi="宋体" w:eastAsia="仿宋_GB2312"/>
                <w:b/>
                <w:bCs/>
                <w:sz w:val="32"/>
                <w:szCs w:val="32"/>
              </w:rPr>
            </w:pPr>
            <w:r>
              <w:rPr>
                <w:rFonts w:hint="eastAsia" w:ascii="仿宋_GB2312" w:hAnsi="宋体" w:eastAsia="仿宋_GB2312"/>
                <w:b/>
                <w:bCs/>
                <w:sz w:val="32"/>
                <w:szCs w:val="32"/>
              </w:rPr>
              <w:t>法规依据</w:t>
            </w:r>
          </w:p>
        </w:tc>
        <w:tc>
          <w:tcPr>
            <w:tcW w:w="14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ascii="仿宋_GB2312" w:hAnsi="宋体" w:eastAsia="仿宋_GB2312"/>
                <w:b/>
                <w:bCs/>
                <w:sz w:val="32"/>
                <w:szCs w:val="32"/>
              </w:rPr>
            </w:pPr>
            <w:r>
              <w:rPr>
                <w:rFonts w:hint="eastAsia" w:ascii="仿宋_GB2312" w:hAnsi="宋体" w:eastAsia="仿宋_GB2312"/>
                <w:b/>
                <w:bCs/>
                <w:sz w:val="32"/>
                <w:szCs w:val="32"/>
              </w:rPr>
              <w:t>监管对象基数</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专项检查次数</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检查周期</w:t>
            </w:r>
          </w:p>
        </w:tc>
        <w:tc>
          <w:tcPr>
            <w:tcW w:w="37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ascii="仿宋_GB2312" w:hAnsi="宋体" w:eastAsia="仿宋_GB2312"/>
                <w:b/>
                <w:bCs/>
                <w:sz w:val="32"/>
                <w:szCs w:val="32"/>
              </w:rPr>
            </w:pPr>
            <w:r>
              <w:rPr>
                <w:rFonts w:hint="eastAsia" w:ascii="仿宋_GB2312" w:hAnsi="宋体" w:eastAsia="仿宋_GB2312"/>
                <w:b/>
                <w:bCs/>
                <w:sz w:val="32"/>
                <w:szCs w:val="32"/>
              </w:rPr>
              <w:t>不适合随机抽查的理由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22" w:hanging="622"/>
              <w:jc w:val="center"/>
              <w:textAlignment w:val="auto"/>
              <w:rPr>
                <w:rFonts w:ascii="仿宋_GB2312" w:hAnsi="宋体" w:eastAsia="仿宋_GB2312"/>
                <w:sz w:val="32"/>
                <w:szCs w:val="32"/>
              </w:rPr>
            </w:pPr>
            <w:r>
              <w:rPr>
                <w:rFonts w:hint="eastAsia" w:ascii="仿宋_GB2312" w:hAnsi="宋体" w:eastAsia="仿宋_GB2312"/>
                <w:sz w:val="32"/>
                <w:szCs w:val="32"/>
              </w:rPr>
              <w:t>1</w:t>
            </w:r>
          </w:p>
        </w:tc>
        <w:tc>
          <w:tcPr>
            <w:tcW w:w="14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8"/>
                <w:szCs w:val="28"/>
              </w:rPr>
            </w:pPr>
            <w:r>
              <w:rPr>
                <w:rFonts w:hint="eastAsia" w:ascii="仿宋_GB2312" w:hAnsi="宋体" w:eastAsia="仿宋_GB2312"/>
                <w:sz w:val="28"/>
                <w:szCs w:val="28"/>
              </w:rPr>
              <w:t>对水务安全生产进行监管</w:t>
            </w:r>
          </w:p>
        </w:tc>
        <w:tc>
          <w:tcPr>
            <w:tcW w:w="40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_GB2312" w:hAnsi="宋体" w:eastAsia="仿宋_GB2312"/>
                <w:sz w:val="28"/>
                <w:szCs w:val="28"/>
              </w:rPr>
            </w:pPr>
            <w:r>
              <w:rPr>
                <w:rFonts w:hint="eastAsia" w:ascii="仿宋_GB2312" w:hAnsi="宋体" w:eastAsia="仿宋_GB2312"/>
                <w:sz w:val="28"/>
                <w:szCs w:val="28"/>
              </w:rPr>
              <w:t>《中华人民共和国安全生产法》、《建设工程安全生产管理条例》、《水利工程建设安全生产管理规定》等</w:t>
            </w:r>
          </w:p>
        </w:tc>
        <w:tc>
          <w:tcPr>
            <w:tcW w:w="14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宋体" w:eastAsia="仿宋_GB2312"/>
                <w:sz w:val="28"/>
                <w:szCs w:val="28"/>
              </w:rPr>
            </w:pPr>
            <w:r>
              <w:rPr>
                <w:rFonts w:hint="eastAsia" w:ascii="仿宋_GB2312" w:hAnsi="宋体" w:eastAsia="仿宋_GB2312"/>
                <w:sz w:val="28"/>
                <w:szCs w:val="28"/>
              </w:rPr>
              <w:t>当期水务工程建设项目</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sz w:val="28"/>
                <w:szCs w:val="28"/>
                <w:lang w:val="en-US" w:eastAsia="zh-CN"/>
              </w:rPr>
            </w:pPr>
            <w:r>
              <w:rPr>
                <w:rFonts w:hint="eastAsia" w:ascii="仿宋_GB2312" w:hAnsi="宋体" w:eastAsia="仿宋_GB2312"/>
                <w:spacing w:val="-20"/>
                <w:sz w:val="28"/>
                <w:szCs w:val="28"/>
              </w:rPr>
              <w:t>≥</w:t>
            </w:r>
            <w:r>
              <w:rPr>
                <w:rFonts w:hint="eastAsia" w:ascii="仿宋_GB2312" w:hAnsi="宋体" w:eastAsia="仿宋_GB2312"/>
                <w:spacing w:val="-20"/>
                <w:sz w:val="28"/>
                <w:szCs w:val="28"/>
                <w:lang w:val="en-US" w:eastAsia="zh-CN"/>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spacing w:val="-20"/>
                <w:sz w:val="28"/>
                <w:szCs w:val="28"/>
                <w:lang w:eastAsia="zh-CN"/>
              </w:rPr>
            </w:pPr>
            <w:r>
              <w:rPr>
                <w:rFonts w:hint="eastAsia" w:ascii="仿宋_GB2312" w:hAnsi="宋体" w:eastAsia="仿宋_GB2312"/>
                <w:spacing w:val="-20"/>
                <w:sz w:val="28"/>
                <w:szCs w:val="28"/>
                <w:lang w:eastAsia="zh-CN"/>
              </w:rPr>
              <w:t>每年</w:t>
            </w:r>
          </w:p>
        </w:tc>
        <w:tc>
          <w:tcPr>
            <w:tcW w:w="37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宋体" w:eastAsia="仿宋_GB2312"/>
                <w:sz w:val="28"/>
                <w:szCs w:val="28"/>
              </w:rPr>
            </w:pPr>
            <w:r>
              <w:rPr>
                <w:rFonts w:hint="eastAsia" w:ascii="仿宋_GB2312" w:hAnsi="宋体" w:eastAsia="仿宋_GB2312"/>
                <w:sz w:val="28"/>
                <w:szCs w:val="28"/>
              </w:rPr>
              <w:t>水务工程项目的安全生产实行全过程监管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22" w:hanging="622"/>
              <w:jc w:val="center"/>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p>
        </w:tc>
        <w:tc>
          <w:tcPr>
            <w:tcW w:w="14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8"/>
                <w:szCs w:val="28"/>
              </w:rPr>
            </w:pPr>
            <w:r>
              <w:rPr>
                <w:rFonts w:hint="eastAsia" w:ascii="仿宋_GB2312" w:hAnsi="宋体" w:eastAsia="仿宋_GB2312"/>
                <w:sz w:val="28"/>
                <w:szCs w:val="28"/>
              </w:rPr>
              <w:t>对河湖保护管理工作进行监管</w:t>
            </w:r>
          </w:p>
        </w:tc>
        <w:tc>
          <w:tcPr>
            <w:tcW w:w="4035" w:type="dxa"/>
            <w:shd w:val="clear" w:color="auto" w:fill="auto"/>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_GB2312" w:hAnsi="宋体" w:eastAsia="仿宋_GB2312"/>
                <w:sz w:val="28"/>
                <w:szCs w:val="28"/>
              </w:rPr>
            </w:pPr>
            <w:r>
              <w:rPr>
                <w:rFonts w:hint="eastAsia" w:ascii="仿宋_GB2312" w:hAnsi="宋体" w:eastAsia="仿宋_GB2312"/>
                <w:sz w:val="28"/>
                <w:szCs w:val="28"/>
              </w:rPr>
              <w:t>《中华人民共和国水法》、《中华人民共和国防洪法》、《中华人民共和国河道管理条例》、《北京市河湖保护管理条例》等</w:t>
            </w:r>
          </w:p>
        </w:tc>
        <w:tc>
          <w:tcPr>
            <w:tcW w:w="14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宋体" w:eastAsia="仿宋_GB2312"/>
                <w:sz w:val="28"/>
                <w:szCs w:val="28"/>
              </w:rPr>
            </w:pPr>
            <w:r>
              <w:rPr>
                <w:rFonts w:hint="eastAsia" w:ascii="仿宋_GB2312" w:hAnsi="宋体" w:eastAsia="仿宋_GB2312"/>
                <w:sz w:val="28"/>
                <w:szCs w:val="28"/>
              </w:rPr>
              <w:t>本市行政区域内所有市管河湖</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宋体" w:eastAsia="仿宋_GB2312"/>
                <w:sz w:val="28"/>
                <w:szCs w:val="28"/>
                <w:lang w:val="en-US" w:eastAsia="zh-CN"/>
              </w:rPr>
            </w:pPr>
            <w:r>
              <w:rPr>
                <w:rFonts w:hint="eastAsia" w:ascii="仿宋_GB2312" w:hAnsi="宋体" w:eastAsia="仿宋_GB2312"/>
                <w:spacing w:val="-20"/>
                <w:sz w:val="28"/>
                <w:szCs w:val="28"/>
              </w:rPr>
              <w:t>≥</w:t>
            </w:r>
            <w:r>
              <w:rPr>
                <w:rFonts w:hint="eastAsia" w:ascii="仿宋_GB2312" w:hAnsi="宋体" w:eastAsia="仿宋_GB2312"/>
                <w:spacing w:val="-20"/>
                <w:sz w:val="28"/>
                <w:szCs w:val="28"/>
                <w:lang w:val="en-US" w:eastAsia="zh-CN"/>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每年</w:t>
            </w:r>
          </w:p>
        </w:tc>
        <w:tc>
          <w:tcPr>
            <w:tcW w:w="37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宋体" w:eastAsia="仿宋_GB2312"/>
                <w:sz w:val="28"/>
                <w:szCs w:val="28"/>
              </w:rPr>
            </w:pPr>
            <w:r>
              <w:rPr>
                <w:rFonts w:hint="eastAsia" w:ascii="仿宋_GB2312" w:hAnsi="宋体" w:eastAsia="仿宋_GB2312"/>
                <w:sz w:val="28"/>
                <w:szCs w:val="28"/>
              </w:rPr>
              <w:t>河湖具有线长、面广、专业性强的特点，行政执法人员履行行政检查职责时，将管辖范围内涉及河湖保护管理方面的内容进行一次性全面检查执法效率最高，执法成本最低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22" w:hanging="622"/>
              <w:jc w:val="center"/>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w:t>
            </w:r>
          </w:p>
        </w:tc>
        <w:tc>
          <w:tcPr>
            <w:tcW w:w="14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宋体" w:eastAsia="仿宋_GB2312"/>
                <w:sz w:val="28"/>
                <w:szCs w:val="28"/>
              </w:rPr>
            </w:pPr>
            <w:r>
              <w:rPr>
                <w:rFonts w:hint="eastAsia" w:ascii="仿宋_GB2312" w:hAnsi="宋体" w:eastAsia="仿宋_GB2312"/>
                <w:sz w:val="28"/>
                <w:szCs w:val="28"/>
              </w:rPr>
              <w:t>对防洪工作进行监管</w:t>
            </w:r>
          </w:p>
        </w:tc>
        <w:tc>
          <w:tcPr>
            <w:tcW w:w="4035" w:type="dxa"/>
            <w:shd w:val="clear" w:color="auto" w:fill="auto"/>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_GB2312" w:hAnsi="宋体" w:eastAsia="仿宋_GB2312"/>
                <w:sz w:val="28"/>
                <w:szCs w:val="28"/>
              </w:rPr>
            </w:pPr>
            <w:r>
              <w:rPr>
                <w:rFonts w:hint="eastAsia" w:ascii="仿宋_GB2312" w:hAnsi="宋体" w:eastAsia="仿宋_GB2312"/>
                <w:sz w:val="28"/>
                <w:szCs w:val="28"/>
              </w:rPr>
              <w:t>《中华人民共和国防洪法》、《中华人民共和国防汛条例》、《中华人民共和国河道管理条例》、《北京市实施&lt;中华人民共和国防洪法&gt;办法》《北京市河湖保护管理条例》等</w:t>
            </w:r>
          </w:p>
        </w:tc>
        <w:tc>
          <w:tcPr>
            <w:tcW w:w="148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宋体" w:eastAsia="仿宋_GB2312"/>
                <w:sz w:val="28"/>
                <w:szCs w:val="28"/>
              </w:rPr>
            </w:pPr>
            <w:r>
              <w:rPr>
                <w:rFonts w:hint="eastAsia" w:ascii="仿宋_GB2312" w:hAnsi="宋体" w:eastAsia="仿宋_GB2312"/>
                <w:sz w:val="28"/>
                <w:szCs w:val="28"/>
              </w:rPr>
              <w:t>本市行政区域内所有防洪工作</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sz w:val="28"/>
                <w:szCs w:val="28"/>
              </w:rPr>
            </w:pPr>
            <w:r>
              <w:rPr>
                <w:rFonts w:hint="eastAsia" w:ascii="仿宋_GB2312" w:hAnsi="宋体" w:eastAsia="仿宋_GB2312"/>
                <w:spacing w:val="-20"/>
                <w:sz w:val="28"/>
                <w:szCs w:val="28"/>
              </w:rPr>
              <w:t>≥</w:t>
            </w:r>
            <w:r>
              <w:rPr>
                <w:rFonts w:hint="eastAsia" w:ascii="仿宋_GB2312" w:hAnsi="宋体" w:eastAsia="仿宋_GB2312"/>
                <w:spacing w:val="-20"/>
                <w:sz w:val="28"/>
                <w:szCs w:val="28"/>
                <w:lang w:val="en-US" w:eastAsia="zh-CN"/>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每年</w:t>
            </w:r>
          </w:p>
        </w:tc>
        <w:tc>
          <w:tcPr>
            <w:tcW w:w="379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宋体" w:eastAsia="仿宋_GB2312"/>
                <w:sz w:val="28"/>
                <w:szCs w:val="28"/>
              </w:rPr>
            </w:pPr>
            <w:r>
              <w:rPr>
                <w:rFonts w:hint="eastAsia" w:ascii="仿宋_GB2312" w:hAnsi="宋体" w:eastAsia="仿宋_GB2312"/>
                <w:sz w:val="28"/>
                <w:szCs w:val="28"/>
              </w:rPr>
              <w:t>防洪与保护人民生命财产紧密相关,北京是水旱灾害多发地区，属于国家重点防洪城市</w:t>
            </w:r>
          </w:p>
        </w:tc>
      </w:tr>
    </w:tbl>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94"/>
    <w:rsid w:val="00014F8A"/>
    <w:rsid w:val="00027033"/>
    <w:rsid w:val="00030500"/>
    <w:rsid w:val="00030F18"/>
    <w:rsid w:val="000434A5"/>
    <w:rsid w:val="00063486"/>
    <w:rsid w:val="00063D3C"/>
    <w:rsid w:val="00065316"/>
    <w:rsid w:val="00071331"/>
    <w:rsid w:val="00071B7B"/>
    <w:rsid w:val="000C0378"/>
    <w:rsid w:val="000E459A"/>
    <w:rsid w:val="00100135"/>
    <w:rsid w:val="001016B0"/>
    <w:rsid w:val="00116109"/>
    <w:rsid w:val="00132DE8"/>
    <w:rsid w:val="00165677"/>
    <w:rsid w:val="00165D99"/>
    <w:rsid w:val="00171A41"/>
    <w:rsid w:val="00181037"/>
    <w:rsid w:val="001A2F23"/>
    <w:rsid w:val="001B12D0"/>
    <w:rsid w:val="001B2F25"/>
    <w:rsid w:val="001E1181"/>
    <w:rsid w:val="00226748"/>
    <w:rsid w:val="00243CFB"/>
    <w:rsid w:val="002810FD"/>
    <w:rsid w:val="00284B56"/>
    <w:rsid w:val="00297C0E"/>
    <w:rsid w:val="002B28CA"/>
    <w:rsid w:val="002D0F9F"/>
    <w:rsid w:val="002D2A8F"/>
    <w:rsid w:val="003436D1"/>
    <w:rsid w:val="00371000"/>
    <w:rsid w:val="00374D77"/>
    <w:rsid w:val="003755BA"/>
    <w:rsid w:val="00386580"/>
    <w:rsid w:val="003955CC"/>
    <w:rsid w:val="003B01AD"/>
    <w:rsid w:val="003B35C3"/>
    <w:rsid w:val="003D392A"/>
    <w:rsid w:val="003D456C"/>
    <w:rsid w:val="0043104A"/>
    <w:rsid w:val="00450459"/>
    <w:rsid w:val="00453287"/>
    <w:rsid w:val="00456521"/>
    <w:rsid w:val="0046743F"/>
    <w:rsid w:val="0047228B"/>
    <w:rsid w:val="00487E7B"/>
    <w:rsid w:val="004A140B"/>
    <w:rsid w:val="004A5925"/>
    <w:rsid w:val="004C39DE"/>
    <w:rsid w:val="004D0940"/>
    <w:rsid w:val="004D2722"/>
    <w:rsid w:val="004E6DB1"/>
    <w:rsid w:val="005232D0"/>
    <w:rsid w:val="00524012"/>
    <w:rsid w:val="005269DB"/>
    <w:rsid w:val="00543C03"/>
    <w:rsid w:val="00545691"/>
    <w:rsid w:val="005A2DE1"/>
    <w:rsid w:val="005B6503"/>
    <w:rsid w:val="005B6FB7"/>
    <w:rsid w:val="005C3F2D"/>
    <w:rsid w:val="00611474"/>
    <w:rsid w:val="00630F90"/>
    <w:rsid w:val="00653ACF"/>
    <w:rsid w:val="006D57D0"/>
    <w:rsid w:val="006D6600"/>
    <w:rsid w:val="006F10F2"/>
    <w:rsid w:val="006F4917"/>
    <w:rsid w:val="0071506D"/>
    <w:rsid w:val="00717187"/>
    <w:rsid w:val="007179CB"/>
    <w:rsid w:val="00722EC2"/>
    <w:rsid w:val="007345F6"/>
    <w:rsid w:val="00742715"/>
    <w:rsid w:val="00747598"/>
    <w:rsid w:val="00756326"/>
    <w:rsid w:val="00785F46"/>
    <w:rsid w:val="00787BFC"/>
    <w:rsid w:val="007A2233"/>
    <w:rsid w:val="007A3CD3"/>
    <w:rsid w:val="007C3BA0"/>
    <w:rsid w:val="007C73EE"/>
    <w:rsid w:val="007D597E"/>
    <w:rsid w:val="007E0E46"/>
    <w:rsid w:val="007F5160"/>
    <w:rsid w:val="0081687E"/>
    <w:rsid w:val="00817E20"/>
    <w:rsid w:val="00823085"/>
    <w:rsid w:val="008312D5"/>
    <w:rsid w:val="00834A95"/>
    <w:rsid w:val="00861135"/>
    <w:rsid w:val="008729D2"/>
    <w:rsid w:val="00881842"/>
    <w:rsid w:val="008962A0"/>
    <w:rsid w:val="008E7E65"/>
    <w:rsid w:val="0090282F"/>
    <w:rsid w:val="00931F4A"/>
    <w:rsid w:val="0093302F"/>
    <w:rsid w:val="009339C5"/>
    <w:rsid w:val="00946D1E"/>
    <w:rsid w:val="0095545D"/>
    <w:rsid w:val="0096626D"/>
    <w:rsid w:val="009711A5"/>
    <w:rsid w:val="00974936"/>
    <w:rsid w:val="009845E6"/>
    <w:rsid w:val="009D552B"/>
    <w:rsid w:val="009E2F9C"/>
    <w:rsid w:val="009E67B0"/>
    <w:rsid w:val="00A133A7"/>
    <w:rsid w:val="00A24C7D"/>
    <w:rsid w:val="00A30961"/>
    <w:rsid w:val="00A34422"/>
    <w:rsid w:val="00A51E6B"/>
    <w:rsid w:val="00A71CDA"/>
    <w:rsid w:val="00A9349C"/>
    <w:rsid w:val="00AA5528"/>
    <w:rsid w:val="00AB097D"/>
    <w:rsid w:val="00AB0D6D"/>
    <w:rsid w:val="00AC1099"/>
    <w:rsid w:val="00AD36B3"/>
    <w:rsid w:val="00AD3E31"/>
    <w:rsid w:val="00AD5A77"/>
    <w:rsid w:val="00AD720A"/>
    <w:rsid w:val="00AF037E"/>
    <w:rsid w:val="00B06FB2"/>
    <w:rsid w:val="00B3407F"/>
    <w:rsid w:val="00B34CD6"/>
    <w:rsid w:val="00B34FF4"/>
    <w:rsid w:val="00B4422C"/>
    <w:rsid w:val="00B66738"/>
    <w:rsid w:val="00B74988"/>
    <w:rsid w:val="00B7560B"/>
    <w:rsid w:val="00B87757"/>
    <w:rsid w:val="00BB550A"/>
    <w:rsid w:val="00BC26A3"/>
    <w:rsid w:val="00BD196F"/>
    <w:rsid w:val="00C01938"/>
    <w:rsid w:val="00C477C1"/>
    <w:rsid w:val="00C528A7"/>
    <w:rsid w:val="00C80140"/>
    <w:rsid w:val="00C87768"/>
    <w:rsid w:val="00CB027F"/>
    <w:rsid w:val="00CD7E47"/>
    <w:rsid w:val="00CF35AA"/>
    <w:rsid w:val="00D02647"/>
    <w:rsid w:val="00D028EC"/>
    <w:rsid w:val="00D1259A"/>
    <w:rsid w:val="00D5038E"/>
    <w:rsid w:val="00D50451"/>
    <w:rsid w:val="00D51DC3"/>
    <w:rsid w:val="00D60268"/>
    <w:rsid w:val="00D61414"/>
    <w:rsid w:val="00D624FD"/>
    <w:rsid w:val="00D84BFA"/>
    <w:rsid w:val="00DA31EB"/>
    <w:rsid w:val="00DD2AE7"/>
    <w:rsid w:val="00DE2BF8"/>
    <w:rsid w:val="00DE67A2"/>
    <w:rsid w:val="00DE6819"/>
    <w:rsid w:val="00E140DC"/>
    <w:rsid w:val="00E459BD"/>
    <w:rsid w:val="00E45E5A"/>
    <w:rsid w:val="00E64CFF"/>
    <w:rsid w:val="00E6503A"/>
    <w:rsid w:val="00EB2031"/>
    <w:rsid w:val="00EB662C"/>
    <w:rsid w:val="00EC6D73"/>
    <w:rsid w:val="00ED76AC"/>
    <w:rsid w:val="00EF63A5"/>
    <w:rsid w:val="00F00254"/>
    <w:rsid w:val="00F02E4C"/>
    <w:rsid w:val="00F1473D"/>
    <w:rsid w:val="00F21A94"/>
    <w:rsid w:val="00F34644"/>
    <w:rsid w:val="00F45BE7"/>
    <w:rsid w:val="00F52147"/>
    <w:rsid w:val="00F711AB"/>
    <w:rsid w:val="00F905FF"/>
    <w:rsid w:val="00FB3B38"/>
    <w:rsid w:val="00FC502F"/>
    <w:rsid w:val="00FD265E"/>
    <w:rsid w:val="00FD3C19"/>
    <w:rsid w:val="00FF72AC"/>
    <w:rsid w:val="1FFF7662"/>
    <w:rsid w:val="2F7A2CF6"/>
    <w:rsid w:val="2FDEF9C3"/>
    <w:rsid w:val="2FF799C3"/>
    <w:rsid w:val="3EF743F8"/>
    <w:rsid w:val="5C3F03C7"/>
    <w:rsid w:val="5DB77E4A"/>
    <w:rsid w:val="67DA1732"/>
    <w:rsid w:val="77762848"/>
    <w:rsid w:val="7B7F975A"/>
    <w:rsid w:val="7D3E943A"/>
    <w:rsid w:val="7E7C3B39"/>
    <w:rsid w:val="7FED6A0B"/>
    <w:rsid w:val="BF4EE4CF"/>
    <w:rsid w:val="DECF5746"/>
    <w:rsid w:val="DF7DBEF8"/>
    <w:rsid w:val="DFBEE6A0"/>
    <w:rsid w:val="EE6F1431"/>
    <w:rsid w:val="EFF7DE37"/>
    <w:rsid w:val="FFABD502"/>
    <w:rsid w:val="FFFD2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1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457</Characters>
  <Lines>3</Lines>
  <Paragraphs>1</Paragraphs>
  <TotalTime>3</TotalTime>
  <ScaleCrop>false</ScaleCrop>
  <LinksUpToDate>false</LinksUpToDate>
  <CharactersWithSpaces>536</CharactersWithSpaces>
  <Application>WPS Office_11.8.2.10505_F1E327BC-269C-435d-A152-05C5408002CA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2021-01-20T00:58:00Z</dcterms:created>
  <dc:creator>测试人员</dc:creator>
  <cp:lastModifiedBy>shuiwuju</cp:lastModifiedBy>
  <dcterms:modified xsi:type="dcterms:W3CDTF">2023-02-20T14:24:09Z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7D971064BFEC48C78886BF99E01D89B9</vt:lpwstr>
  </property>
</Properties>
</file>